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71B8" w:rsidRPr="00797C98" w:rsidRDefault="00FF71B8" w:rsidP="00797C98">
      <w:pPr>
        <w:jc w:val="both"/>
        <w:rPr>
          <w:rFonts w:ascii="Arial" w:eastAsia="Work Sans" w:hAnsi="Arial" w:cs="Arial"/>
          <w:b/>
          <w:sz w:val="20"/>
          <w:lang w:val="es-CO"/>
        </w:rPr>
      </w:pPr>
      <w:r>
        <w:rPr>
          <w:rFonts w:ascii="Arial" w:eastAsia="Work Sans" w:hAnsi="Arial" w:cs="Arial"/>
          <w:b/>
          <w:sz w:val="20"/>
          <w:lang w:val="es-CO"/>
        </w:rPr>
        <w:t>Título.</w:t>
      </w:r>
      <w:r>
        <w:rPr>
          <w:rFonts w:ascii="Arial" w:hAnsi="Arial" w:cs="Arial"/>
          <w:sz w:val="20"/>
          <w:lang w:val="es-CO"/>
        </w:rPr>
        <w:t xml:space="preserve"> </w:t>
      </w:r>
      <w:r>
        <w:rPr>
          <w:rFonts w:ascii="Arial" w:eastAsia="Work Sans" w:hAnsi="Arial" w:cs="Arial"/>
          <w:b/>
          <w:sz w:val="20"/>
          <w:lang w:val="es-CO"/>
        </w:rPr>
        <w:t>Análisis de la accesibilidad geográfica a equipamientos con oferta social de integración social en Bogotá D.C. mediante análisis de redes en Sistemas de Información Geográfica</w:t>
      </w:r>
    </w:p>
    <w:p w:rsidR="00797C98" w:rsidRPr="00797C98" w:rsidRDefault="00797C98" w:rsidP="00797C98">
      <w:pPr>
        <w:jc w:val="both"/>
        <w:rPr>
          <w:rFonts w:ascii="Arial" w:eastAsia="Work Sans" w:hAnsi="Arial" w:cs="Arial"/>
          <w:b/>
          <w:sz w:val="20"/>
          <w:lang w:val="es-CO"/>
        </w:rPr>
      </w:pPr>
      <w:r>
        <w:rPr>
          <w:rFonts w:ascii="Arial" w:eastAsia="Work Sans" w:hAnsi="Arial" w:cs="Arial"/>
          <w:b/>
          <w:sz w:val="20"/>
          <w:lang w:val="es-CO"/>
        </w:rPr>
        <w:t>Autores:</w:t>
      </w:r>
    </w:p>
    <w:p w:rsidR="00797C98" w:rsidRPr="00797C98" w:rsidRDefault="00797C98" w:rsidP="00797C98">
      <w:pPr>
        <w:jc w:val="both"/>
        <w:rPr>
          <w:rFonts w:ascii="Arial" w:eastAsia="Work Sans" w:hAnsi="Arial" w:cs="Arial"/>
          <w:sz w:val="20"/>
          <w:lang w:val="es-CO"/>
        </w:rPr>
      </w:pPr>
      <w:r>
        <w:rPr>
          <w:rFonts w:ascii="Arial" w:eastAsia="Work Sans" w:hAnsi="Arial" w:cs="Arial"/>
          <w:sz w:val="20"/>
          <w:lang w:val="es-CO"/>
        </w:rPr>
        <w:t>Carlos Andrés Fernández Contreras, Secretaría Distrital de Salud, 3002069730, CAfernandez@saludcapital.gov.co</w:t>
      </w:r>
    </w:p>
    <w:p w:rsidR="00797C98" w:rsidRDefault="00797C98" w:rsidP="00797C98">
      <w:pPr>
        <w:jc w:val="both"/>
        <w:rPr>
          <w:rFonts w:ascii="Arial" w:eastAsia="Work Sans" w:hAnsi="Arial" w:cs="Arial"/>
          <w:sz w:val="20"/>
          <w:lang w:val="es-CO"/>
        </w:rPr>
      </w:pPr>
      <w:r>
        <w:rPr>
          <w:rFonts w:ascii="Arial" w:eastAsia="Work Sans" w:hAnsi="Arial" w:cs="Arial"/>
          <w:sz w:val="20"/>
          <w:lang w:val="es-CO"/>
        </w:rPr>
        <w:t xml:space="preserve">Kimberly Piñeros Chia, Secretaría Distrital de Salud, 3125017094, </w:t>
      </w:r>
      <w:hyperlink r:id="rId5" w:history="1">
        <w:r w:rsidR="004F2571" w:rsidRPr="004F2571">
          <w:rPr>
            <w:lang w:val="es-CO"/>
          </w:rPr>
          <w:t>KPineros@saludcapital.gov.co</w:t>
        </w:r>
      </w:hyperlink>
    </w:p>
    <w:p w:rsidR="004F2571" w:rsidRPr="00797C98" w:rsidRDefault="004F2571" w:rsidP="004F2571">
      <w:pPr>
        <w:jc w:val="both"/>
        <w:rPr>
          <w:rFonts w:ascii="Arial" w:eastAsia="Work Sans" w:hAnsi="Arial" w:cs="Arial"/>
          <w:sz w:val="20"/>
          <w:lang w:val="es-CO"/>
        </w:rPr>
      </w:pPr>
      <w:r>
        <w:rPr>
          <w:rFonts w:ascii="Arial" w:eastAsia="Work Sans" w:hAnsi="Arial" w:cs="Arial"/>
          <w:sz w:val="20"/>
          <w:lang w:val="es-CO"/>
        </w:rPr>
        <w:t xml:space="preserve">Juan Camilo </w:t>
      </w:r>
      <w:proofErr w:type="spellStart"/>
      <w:r>
        <w:rPr>
          <w:rFonts w:ascii="Arial" w:eastAsia="Work Sans" w:hAnsi="Arial" w:cs="Arial"/>
          <w:sz w:val="20"/>
          <w:lang w:val="es-CO"/>
        </w:rPr>
        <w:t>Tocora</w:t>
      </w:r>
      <w:proofErr w:type="spellEnd"/>
      <w:r>
        <w:rPr>
          <w:rFonts w:ascii="Arial" w:eastAsia="Work Sans" w:hAnsi="Arial" w:cs="Arial"/>
          <w:sz w:val="20"/>
          <w:lang w:val="es-CO"/>
        </w:rPr>
        <w:t xml:space="preserve"> </w:t>
      </w:r>
      <w:proofErr w:type="spellStart"/>
      <w:r>
        <w:rPr>
          <w:rFonts w:ascii="Arial" w:eastAsia="Work Sans" w:hAnsi="Arial" w:cs="Arial"/>
          <w:sz w:val="20"/>
          <w:lang w:val="es-CO"/>
        </w:rPr>
        <w:t>Rodriguez</w:t>
      </w:r>
      <w:proofErr w:type="spellEnd"/>
      <w:r>
        <w:rPr>
          <w:rFonts w:ascii="Arial" w:eastAsia="Work Sans" w:hAnsi="Arial" w:cs="Arial"/>
          <w:sz w:val="20"/>
          <w:lang w:val="es-CO"/>
        </w:rPr>
        <w:t>, Secr</w:t>
      </w:r>
      <w:bookmarkStart w:id="0" w:name="_GoBack"/>
      <w:bookmarkEnd w:id="0"/>
      <w:r>
        <w:rPr>
          <w:rFonts w:ascii="Arial" w:eastAsia="Work Sans" w:hAnsi="Arial" w:cs="Arial"/>
          <w:sz w:val="20"/>
          <w:lang w:val="es-CO"/>
        </w:rPr>
        <w:t>etaría Distrital de Salud, 322</w:t>
      </w:r>
      <w:r w:rsidRPr="00667BE4">
        <w:rPr>
          <w:rFonts w:ascii="Arial" w:eastAsia="Work Sans" w:hAnsi="Arial" w:cs="Arial"/>
          <w:sz w:val="20"/>
          <w:lang w:val="es-CO"/>
        </w:rPr>
        <w:t>8283665</w:t>
      </w:r>
      <w:r>
        <w:rPr>
          <w:rFonts w:ascii="Arial" w:eastAsia="Work Sans" w:hAnsi="Arial" w:cs="Arial"/>
          <w:sz w:val="20"/>
          <w:lang w:val="es-CO"/>
        </w:rPr>
        <w:t>, JCTocora@saludcapital.gov.co</w:t>
      </w:r>
    </w:p>
    <w:p w:rsidR="004F2571" w:rsidRPr="00797C98" w:rsidRDefault="004F2571" w:rsidP="00797C98">
      <w:pPr>
        <w:jc w:val="both"/>
        <w:rPr>
          <w:rFonts w:ascii="Arial" w:eastAsia="Work Sans" w:hAnsi="Arial" w:cs="Arial"/>
          <w:sz w:val="20"/>
          <w:lang w:val="es-CO"/>
        </w:rPr>
      </w:pPr>
    </w:p>
    <w:p w:rsidR="00FF71B8" w:rsidRPr="00797C98" w:rsidRDefault="00FF71B8" w:rsidP="00797C98">
      <w:pPr>
        <w:jc w:val="both"/>
        <w:rPr>
          <w:rFonts w:ascii="Arial" w:eastAsia="Work Sans" w:hAnsi="Arial" w:cs="Arial"/>
          <w:b/>
          <w:sz w:val="20"/>
          <w:lang w:val="es-CO"/>
        </w:rPr>
      </w:pPr>
      <w:r>
        <w:rPr>
          <w:rFonts w:ascii="Arial" w:eastAsia="Work Sans" w:hAnsi="Arial" w:cs="Arial"/>
          <w:b/>
          <w:sz w:val="20"/>
          <w:lang w:val="es-CO"/>
        </w:rPr>
        <w:t>Resumen o Abstract.</w:t>
      </w:r>
      <w:r>
        <w:rPr>
          <w:rFonts w:ascii="Arial" w:hAnsi="Arial" w:cs="Arial"/>
          <w:sz w:val="20"/>
          <w:lang w:val="es-CO"/>
        </w:rPr>
        <w:t xml:space="preserve"> </w:t>
      </w:r>
      <w:r>
        <w:rPr>
          <w:rFonts w:ascii="Arial" w:eastAsia="Work Sans" w:hAnsi="Arial" w:cs="Arial"/>
          <w:sz w:val="20"/>
          <w:lang w:val="es-CO"/>
        </w:rPr>
        <w:t>La accesibilidad geográfica a los equipamientos con oferta social constituye un factor determinante para la equidad territorial y el bienestar urbano, especialmente en ciudades con alta complejidad espacial como Bogotá D.C. El presente estudio analiza la accesibilidad en términos de tiempo de desplazamiento hacia los equipamientos de Integración Social del distrito, empleando técnicas de análisis de redes basadas en Sistemas de Información Geográfica (SIG). Para ello, se utilizaron como variables la localización georreferenciada de los equipamientos sociales, la malla vial arterial de la ciudad, la longitud de los segmentos viales y las velocidades máximas permitidas y promedias observadas en un periodo típico de alta congestión (17:30–18:30 horas). Mediante la construcción de un Network Dataset en ArcGIS y la aplicación de la herramienta Service Area del módulo Network Analyst, se delimitaron áreas de servicio correspondientes a intervalos de tiempo de 5, 10, 15, 25 y más de 35 minutos. Los resultados evidencian que la mayor parte del área urbana central y norte de la ciudad —incluidas localidades como Suba, Engativá, Barrios Unidos, Teusaquillo, Usaquén y Fontibón— se encuentra cubierta por tiempos de desplazamiento inferiores a 15 minutos hacia los equipamientos con oferta social, mientras que las periferias sur y suroriental de la ciudad, en particular Ciudad Bolívar, Usme y sectores de San Cristóbal y Rafael Uribe Uribe, presentan tiempos de desplazamiento superiores a 25 e incluso a 35 minutos. Al superponer estas zonas de menor accesibilidad con los indicadores de índice de pobreza multidimensional, analfabetismo, víctimas del conflicto armado y problemas estructurales de la vivienda, se observó una coincidencia espacial relevante entre las zonas de mayor tiempo de desplazamiento y los niveles altos de vulnerabilidad social, particularmente en Ciudad Bolívar y en sectores limítrofes de Bosa, Kennedy y San Cristóbal. Estos hallazgos sugieren que la población en condiciones de mayor vulnerabilidad social enfrenta simultáneamente mayores barreras de accesibilidad geográfica a la oferta social, lo cual constituye un insumo relevante para la focalización territorial de políticas públicas distritales.</w:t>
      </w:r>
    </w:p>
    <w:p w:rsidR="008154C8" w:rsidRPr="00797C98" w:rsidRDefault="00FF71B8" w:rsidP="00797C98">
      <w:pPr>
        <w:jc w:val="both"/>
        <w:rPr>
          <w:rFonts w:ascii="Arial" w:eastAsia="Work Sans" w:hAnsi="Arial" w:cs="Arial"/>
          <w:sz w:val="20"/>
          <w:lang w:val="es-CO"/>
        </w:rPr>
      </w:pPr>
      <w:r>
        <w:rPr>
          <w:rFonts w:ascii="Arial" w:eastAsia="Work Sans" w:hAnsi="Arial" w:cs="Arial"/>
          <w:b/>
          <w:sz w:val="20"/>
          <w:lang w:val="es-CO"/>
        </w:rPr>
        <w:t>Palabras claves.</w:t>
      </w:r>
      <w:r>
        <w:rPr>
          <w:rFonts w:ascii="Arial" w:hAnsi="Arial" w:cs="Arial"/>
          <w:sz w:val="20"/>
          <w:lang w:val="es-CO"/>
        </w:rPr>
        <w:t xml:space="preserve"> </w:t>
      </w:r>
      <w:r>
        <w:rPr>
          <w:rFonts w:ascii="Arial" w:eastAsia="Work Sans" w:hAnsi="Arial" w:cs="Arial"/>
          <w:sz w:val="20"/>
          <w:lang w:val="es-CO"/>
        </w:rPr>
        <w:t xml:space="preserve">Accesibilidad geográfica; Equipamientos sociales; Análisis de redes; Sistemas de Información Geográfica; </w:t>
      </w:r>
    </w:p>
    <w:p w:rsidR="00825BFE" w:rsidRPr="00797C98" w:rsidRDefault="00825BFE" w:rsidP="00797C98">
      <w:pPr>
        <w:jc w:val="both"/>
        <w:rPr>
          <w:rFonts w:ascii="Arial" w:eastAsia="Work Sans" w:hAnsi="Arial" w:cs="Arial"/>
          <w:b/>
          <w:sz w:val="20"/>
          <w:lang w:val="es-CO"/>
        </w:rPr>
      </w:pPr>
      <w:r>
        <w:rPr>
          <w:rFonts w:ascii="Arial" w:eastAsia="Work Sans" w:hAnsi="Arial" w:cs="Arial"/>
          <w:b/>
          <w:sz w:val="20"/>
          <w:lang w:val="es-CO"/>
        </w:rPr>
        <w:t>Introducción.</w:t>
      </w:r>
    </w:p>
    <w:p w:rsidR="003202B0" w:rsidRPr="00797C98" w:rsidRDefault="003202B0" w:rsidP="00797C98">
      <w:pPr>
        <w:jc w:val="both"/>
        <w:rPr>
          <w:rFonts w:ascii="Arial" w:eastAsia="Work Sans" w:hAnsi="Arial" w:cs="Arial"/>
          <w:sz w:val="20"/>
          <w:lang w:val="es-CO"/>
        </w:rPr>
      </w:pPr>
      <w:r>
        <w:rPr>
          <w:rFonts w:ascii="Arial" w:eastAsia="Work Sans" w:hAnsi="Arial" w:cs="Arial"/>
          <w:sz w:val="20"/>
          <w:lang w:val="es-CO"/>
        </w:rPr>
        <w:t>El acceso equitativo a los equipamientos con oferta social constituye uno de los principales desafíos de la planificación urbana contemporánea, particularmente en ciudades metropolitanas caracterizadas por una elevada fragmentación socioespacial. La accesibilidad geográfica, entendida como la facilidad con la que la población puede alcanzar bienes y servicios a través de la red de transporte, se ha consolidado como un indicador clave para evaluar la eficiencia y la justicia espacial de la distribución de la infraestructura urbana.</w:t>
      </w:r>
    </w:p>
    <w:p w:rsidR="003202B0" w:rsidRPr="00797C98" w:rsidRDefault="003202B0" w:rsidP="00797C98">
      <w:pPr>
        <w:jc w:val="both"/>
        <w:rPr>
          <w:rFonts w:ascii="Arial" w:eastAsia="Work Sans" w:hAnsi="Arial" w:cs="Arial"/>
          <w:sz w:val="20"/>
          <w:lang w:val="es-CO"/>
        </w:rPr>
      </w:pPr>
      <w:r>
        <w:rPr>
          <w:rFonts w:ascii="Arial" w:eastAsia="Work Sans" w:hAnsi="Arial" w:cs="Arial"/>
          <w:sz w:val="20"/>
          <w:lang w:val="es-CO"/>
        </w:rPr>
        <w:t xml:space="preserve">En el contexto de Bogotá D.C., los equipamientos con oferta social de Integración Social —tales como comisarías de familia, casas de justicia, centros de desarrollo comunitario, jardines infantiles y </w:t>
      </w:r>
      <w:r>
        <w:rPr>
          <w:rFonts w:ascii="Arial" w:eastAsia="Work Sans" w:hAnsi="Arial" w:cs="Arial"/>
          <w:sz w:val="20"/>
          <w:lang w:val="es-CO"/>
        </w:rPr>
        <w:lastRenderedPageBreak/>
        <w:t>equipamientos asociados al sistema distrital de cuidado— desempeñan un papel fundamental en la atención de poblaciones vulnerables y en la garantía de derechos sociales. Sin embargo, la mera existencia de estos equipamientos no asegura su uso efectivo si su localización y accesibilidad temporal no responden a las dinámicas de movilidad urbana y a las condiciones reales de desplazamiento de la población.</w:t>
      </w:r>
    </w:p>
    <w:p w:rsidR="003202B0" w:rsidRPr="00797C98" w:rsidRDefault="003202B0" w:rsidP="00797C98">
      <w:pPr>
        <w:jc w:val="both"/>
        <w:rPr>
          <w:rFonts w:ascii="Arial" w:eastAsia="Work Sans" w:hAnsi="Arial" w:cs="Arial"/>
          <w:sz w:val="20"/>
          <w:lang w:val="es-CO"/>
        </w:rPr>
      </w:pPr>
      <w:r>
        <w:rPr>
          <w:rFonts w:ascii="Arial" w:eastAsia="Work Sans" w:hAnsi="Arial" w:cs="Arial"/>
          <w:sz w:val="20"/>
          <w:lang w:val="es-CO"/>
        </w:rPr>
        <w:t>En este sentido, los Sistemas de Información Geográfica (SIG) y, en particular, el análisis de redes, se han consolidado como herramientas metodológicas robustas para la evaluación de la accesibilidad urbana. Estas técnicas permiten modelar la red vial como un sistema de nodos y arcos, incorporando atributos de impedancia asociados al tiempo de viaje, lo que facilita la delimitación de áreas de servicio y la identificación de desigualdades espaciales en el acceso a los servicios urbanos.</w:t>
      </w:r>
    </w:p>
    <w:p w:rsidR="003202B0" w:rsidRPr="00797C98" w:rsidRDefault="003202B0" w:rsidP="00797C98">
      <w:pPr>
        <w:jc w:val="both"/>
        <w:rPr>
          <w:rFonts w:ascii="Arial" w:eastAsia="Work Sans" w:hAnsi="Arial" w:cs="Arial"/>
          <w:sz w:val="20"/>
          <w:lang w:val="es-CO"/>
        </w:rPr>
      </w:pPr>
      <w:r>
        <w:rPr>
          <w:rFonts w:ascii="Arial" w:eastAsia="Work Sans" w:hAnsi="Arial" w:cs="Arial"/>
          <w:sz w:val="20"/>
          <w:lang w:val="es-CO"/>
        </w:rPr>
        <w:t>El presente artículo tiene como objetivo analizar la accesibilidad geográfica, medida en términos de tiempo de desplazamiento, hacia los equipamientos con oferta social de Integración Social en Bogotá D.C. Para ello, se emplea un enfoque de análisis de redes utilizando el software ArcGIS, considerando variables relacionadas con la infraestructura vial, las velocidades de circulación en periodos de alta congestión y la localización georreferenciada de los equipamientos. Los resultados buscan aportar evidencia técnica que sirva de apoyo a los procesos de toma de decisiones en planificación urbana y a la formulación de políticas públicas orientadas a mejorar la equidad territorial en el acceso a la oferta social.</w:t>
      </w:r>
    </w:p>
    <w:p w:rsidR="00825BFE" w:rsidRPr="004F2571" w:rsidRDefault="00825BFE" w:rsidP="00797C98">
      <w:pPr>
        <w:jc w:val="both"/>
        <w:rPr>
          <w:rFonts w:ascii="Arial" w:eastAsia="Work Sans" w:hAnsi="Arial" w:cs="Arial"/>
          <w:sz w:val="20"/>
          <w:lang w:val="es-CO"/>
        </w:rPr>
      </w:pPr>
      <w:r>
        <w:rPr>
          <w:rFonts w:ascii="Arial" w:eastAsia="Work Sans" w:hAnsi="Arial" w:cs="Arial"/>
          <w:sz w:val="20"/>
          <w:lang w:val="es-CO"/>
        </w:rPr>
        <w:t xml:space="preserve">La evidencia internacional sobre accesibilidad a servicios urbanos ha mostrado de manera consistente que las brechas de tiempo de desplazamiento no se distribuyen de forma aleatoria en el territorio, sino que tienden a coincidir con zonas de mayor vulnerabilidad socioeconómica (1–3). En esa línea, este estudio incorpora de manera complementaria el análisis de la relación espacial entre los tiempos de desplazamiento hacia los equipamientos con oferta social y un conjunto de indicadores de vulnerabilidad social —índice de pobreza multidimensional, analfabetismo, víctimas del conflicto armado y problemas estructurales de la vivienda—, con el propósito de identificar si las poblaciones en mayor desventaja social son también aquellas que enfrentan mayores barreras de acceso geográfico, </w:t>
      </w:r>
      <w:r w:rsidRPr="004F2571">
        <w:rPr>
          <w:rFonts w:ascii="Arial" w:eastAsia="Work Sans" w:hAnsi="Arial" w:cs="Arial"/>
          <w:sz w:val="20"/>
          <w:lang w:val="es-CO"/>
        </w:rPr>
        <w:t>en línea con los hallazgos reportados para la ciudad en fuentes oficiales de pobreza y desigualdad (4).</w:t>
      </w:r>
    </w:p>
    <w:p w:rsidR="00825BFE" w:rsidRPr="00797C98" w:rsidRDefault="00825BFE" w:rsidP="00797C98">
      <w:pPr>
        <w:jc w:val="both"/>
        <w:rPr>
          <w:rFonts w:ascii="Arial" w:eastAsia="Work Sans" w:hAnsi="Arial" w:cs="Arial"/>
          <w:b/>
          <w:sz w:val="20"/>
          <w:lang w:val="es-CO"/>
        </w:rPr>
      </w:pPr>
      <w:r w:rsidRPr="004F2571">
        <w:rPr>
          <w:rFonts w:ascii="Arial" w:eastAsia="Work Sans" w:hAnsi="Arial" w:cs="Arial"/>
          <w:b/>
          <w:sz w:val="20"/>
          <w:lang w:val="es-CO"/>
        </w:rPr>
        <w:t>Materiales y Métodos.</w:t>
      </w:r>
      <w:r>
        <w:rPr>
          <w:rFonts w:ascii="Arial" w:eastAsia="Work Sans" w:hAnsi="Arial" w:cs="Arial"/>
          <w:b/>
          <w:sz w:val="20"/>
          <w:lang w:val="es-CO"/>
        </w:rPr>
        <w:tab/>
      </w:r>
    </w:p>
    <w:p w:rsidR="004509E3" w:rsidRPr="00797C98" w:rsidRDefault="00347AAA" w:rsidP="00797C98">
      <w:pPr>
        <w:jc w:val="both"/>
        <w:rPr>
          <w:rFonts w:ascii="Arial" w:eastAsia="Work Sans" w:hAnsi="Arial" w:cs="Arial"/>
          <w:sz w:val="20"/>
          <w:lang w:val="es-CO"/>
        </w:rPr>
      </w:pPr>
      <w:r>
        <w:rPr>
          <w:rFonts w:ascii="Arial" w:eastAsia="Work Sans" w:hAnsi="Arial" w:cs="Arial"/>
          <w:sz w:val="20"/>
          <w:lang w:val="es-CO"/>
        </w:rPr>
        <w:t>Dentro de las variables usadas para calcular el desplazamiento promedio en términos de tiempo, fueron los equipamientos con oferta social de Integración Social, donde se encuentran Comisarias de Familias, Casas de Igualdad de Oportunidades, Casa de Justicia, Casa de Juventud, Casa de Pensamiento Intercurtural, Centro Abrazar, Centro Amar, Centro Crecer, Centro de Desarrollo Comunitario, Centro Proteger, Centro Renacer, Equipamiento, equipamientos de manzanas del cuidado, Casa LGBTI, Centro Día, Centro Intégrate,  Comunidad de Cuidado, Cuidado Transitorio día – noche, jardines infantiles diurnos y nocturnos, entre otros); ademas de la longitud de las vías de la malla vial integral, la velocidad máxima permitida en cada categoría de las vías y las velocidades promedio en un día típico de 17:30 a 18:30 horas en vías arteriales.</w:t>
      </w:r>
    </w:p>
    <w:p w:rsidR="00122BD7" w:rsidRPr="00797C98" w:rsidRDefault="00233AE5" w:rsidP="00797C98">
      <w:pPr>
        <w:jc w:val="both"/>
        <w:rPr>
          <w:rFonts w:ascii="Arial" w:eastAsia="Work Sans" w:hAnsi="Arial" w:cs="Arial"/>
          <w:sz w:val="20"/>
          <w:lang w:val="es-CO"/>
        </w:rPr>
      </w:pPr>
      <w:r>
        <w:rPr>
          <w:rFonts w:ascii="Arial" w:eastAsia="Work Sans" w:hAnsi="Arial" w:cs="Arial"/>
          <w:sz w:val="20"/>
          <w:lang w:val="es-CO"/>
        </w:rPr>
        <w:t>Teniendo en cuenta estas variables, se pudo calcular el tiempo promedio de desplazamiento desde diferentes zonas de la ciudad que cuentan con acceso vial, hacia la ubicación física de los equipamientos con oferta social de integración social.</w:t>
      </w:r>
    </w:p>
    <w:p w:rsidR="00FF71B8" w:rsidRPr="00797C98" w:rsidRDefault="00FF71B8" w:rsidP="00797C98">
      <w:pPr>
        <w:jc w:val="both"/>
        <w:rPr>
          <w:rFonts w:ascii="Arial" w:eastAsia="Work Sans" w:hAnsi="Arial" w:cs="Arial"/>
          <w:sz w:val="20"/>
          <w:lang w:val="es-CO"/>
        </w:rPr>
      </w:pPr>
      <w:r>
        <w:rPr>
          <w:rFonts w:ascii="Arial" w:eastAsia="Work Sans" w:hAnsi="Arial" w:cs="Arial"/>
          <w:sz w:val="20"/>
          <w:lang w:val="es-CO"/>
        </w:rPr>
        <w:t xml:space="preserve">Este análisis de accesibilidad geográfica a los equipamientos con oferta social se desarrolló en el contexto urbano de la ciudad de </w:t>
      </w:r>
      <w:r>
        <w:rPr>
          <w:rFonts w:ascii="Arial" w:eastAsia="Work Sans" w:hAnsi="Arial" w:cs="Arial"/>
          <w:bCs/>
          <w:sz w:val="20"/>
        </w:rPr>
        <w:t>Bogotá D.C.</w:t>
      </w:r>
      <w:r>
        <w:rPr>
          <w:rFonts w:ascii="Arial" w:eastAsia="Work Sans" w:hAnsi="Arial" w:cs="Arial"/>
          <w:sz w:val="20"/>
          <w:lang w:val="es-CO"/>
        </w:rPr>
        <w:t xml:space="preserve">, empleando herramientas de análisis de redes implementado con </w:t>
      </w:r>
      <w:r>
        <w:rPr>
          <w:rFonts w:ascii="Arial" w:eastAsia="Work Sans" w:hAnsi="Arial" w:cs="Arial"/>
          <w:bCs/>
          <w:sz w:val="20"/>
        </w:rPr>
        <w:t>Sistemas de Información Geográfica (SIG)</w:t>
      </w:r>
      <w:r>
        <w:rPr>
          <w:rFonts w:ascii="Arial" w:eastAsia="Work Sans" w:hAnsi="Arial" w:cs="Arial"/>
          <w:sz w:val="20"/>
          <w:lang w:val="es-CO"/>
        </w:rPr>
        <w:t xml:space="preserve">, específicamente el software </w:t>
      </w:r>
      <w:r>
        <w:rPr>
          <w:rFonts w:ascii="Arial" w:eastAsia="Work Sans" w:hAnsi="Arial" w:cs="Arial"/>
          <w:bCs/>
          <w:sz w:val="20"/>
        </w:rPr>
        <w:t>ArcGIS</w:t>
      </w:r>
      <w:r>
        <w:rPr>
          <w:rFonts w:ascii="Arial" w:eastAsia="Work Sans" w:hAnsi="Arial" w:cs="Arial"/>
          <w:sz w:val="20"/>
          <w:lang w:val="es-CO"/>
        </w:rPr>
        <w:t>.</w:t>
      </w:r>
    </w:p>
    <w:p w:rsidR="00FF71B8" w:rsidRPr="00797C98" w:rsidRDefault="00FF71B8" w:rsidP="00797C98">
      <w:pPr>
        <w:jc w:val="both"/>
        <w:rPr>
          <w:rFonts w:ascii="Arial" w:eastAsia="Work Sans" w:hAnsi="Arial" w:cs="Arial"/>
          <w:sz w:val="20"/>
          <w:lang w:val="es-CO"/>
        </w:rPr>
      </w:pPr>
      <w:r>
        <w:rPr>
          <w:rFonts w:ascii="Arial" w:eastAsia="Work Sans" w:hAnsi="Arial" w:cs="Arial"/>
          <w:sz w:val="20"/>
          <w:lang w:val="es-CO"/>
        </w:rPr>
        <w:t xml:space="preserve">Como insumo inicial, se tomó </w:t>
      </w:r>
      <w:r>
        <w:rPr>
          <w:rFonts w:ascii="Arial" w:eastAsia="Work Sans" w:hAnsi="Arial" w:cs="Arial"/>
          <w:bCs/>
          <w:sz w:val="20"/>
        </w:rPr>
        <w:t>la capa geográfica de equipamientos con oferta social de Integración Social en el distrito</w:t>
      </w:r>
      <w:r>
        <w:rPr>
          <w:rFonts w:ascii="Arial" w:eastAsia="Work Sans" w:hAnsi="Arial" w:cs="Arial"/>
          <w:sz w:val="20"/>
          <w:lang w:val="es-CO"/>
        </w:rPr>
        <w:t xml:space="preserve">. Esta información, fue previamente geo procesada revisando la estandarización, calidad del dato espacial y georreferenciando la ubicación física de cada equipamiento utilizando el </w:t>
      </w:r>
      <w:r>
        <w:rPr>
          <w:rFonts w:ascii="Arial" w:eastAsia="Work Sans" w:hAnsi="Arial" w:cs="Arial"/>
          <w:sz w:val="20"/>
          <w:lang w:val="es-CO"/>
        </w:rPr>
        <w:lastRenderedPageBreak/>
        <w:t xml:space="preserve">sistema de referencia MAGNA-SIRGAS. Los equipamientos fueron incorporados como </w:t>
      </w:r>
      <w:r>
        <w:rPr>
          <w:rFonts w:ascii="Arial" w:eastAsia="Work Sans" w:hAnsi="Arial" w:cs="Arial"/>
          <w:bCs/>
          <w:sz w:val="20"/>
        </w:rPr>
        <w:t>puntos de origen</w:t>
      </w:r>
      <w:r>
        <w:rPr>
          <w:rFonts w:ascii="Arial" w:eastAsia="Work Sans" w:hAnsi="Arial" w:cs="Arial"/>
          <w:sz w:val="20"/>
          <w:lang w:val="es-CO"/>
        </w:rPr>
        <w:t xml:space="preserve"> para el análisis de accesibilidad geográfica.</w:t>
      </w:r>
    </w:p>
    <w:p w:rsidR="00FF71B8" w:rsidRPr="00797C98" w:rsidRDefault="00FF71B8" w:rsidP="00797C98">
      <w:pPr>
        <w:jc w:val="both"/>
        <w:rPr>
          <w:rFonts w:ascii="Arial" w:eastAsia="Work Sans" w:hAnsi="Arial" w:cs="Arial"/>
          <w:sz w:val="20"/>
          <w:lang w:val="es-CO"/>
        </w:rPr>
      </w:pPr>
      <w:r>
        <w:rPr>
          <w:rFonts w:ascii="Arial" w:eastAsia="Work Sans" w:hAnsi="Arial" w:cs="Arial"/>
          <w:sz w:val="20"/>
          <w:lang w:val="es-CO"/>
        </w:rPr>
        <w:t xml:space="preserve">Posteriormente, se definió la </w:t>
      </w:r>
      <w:r>
        <w:rPr>
          <w:rFonts w:ascii="Arial" w:eastAsia="Work Sans" w:hAnsi="Arial" w:cs="Arial"/>
          <w:bCs/>
          <w:sz w:val="20"/>
        </w:rPr>
        <w:t>red vial de análisis</w:t>
      </w:r>
      <w:r>
        <w:rPr>
          <w:rFonts w:ascii="Arial" w:eastAsia="Work Sans" w:hAnsi="Arial" w:cs="Arial"/>
          <w:sz w:val="20"/>
          <w:lang w:val="es-CO"/>
        </w:rPr>
        <w:t xml:space="preserve"> a partir de la </w:t>
      </w:r>
      <w:r>
        <w:rPr>
          <w:rFonts w:ascii="Arial" w:eastAsia="Work Sans" w:hAnsi="Arial" w:cs="Arial"/>
          <w:bCs/>
          <w:sz w:val="20"/>
        </w:rPr>
        <w:t>malla vial arterial de Bogotá</w:t>
      </w:r>
      <w:r>
        <w:rPr>
          <w:rFonts w:ascii="Arial" w:eastAsia="Work Sans" w:hAnsi="Arial" w:cs="Arial"/>
          <w:sz w:val="20"/>
          <w:lang w:val="es-CO"/>
        </w:rPr>
        <w:t xml:space="preserve">, la cual constituye la estructura principal de movilidad urbana. Dicha red fue preparada mediante la creación de un </w:t>
      </w:r>
      <w:r>
        <w:rPr>
          <w:rFonts w:ascii="Arial" w:eastAsia="Work Sans" w:hAnsi="Arial" w:cs="Arial"/>
          <w:i/>
          <w:iCs/>
          <w:sz w:val="20"/>
        </w:rPr>
        <w:t>Network Dataset</w:t>
      </w:r>
      <w:r>
        <w:rPr>
          <w:rFonts w:ascii="Arial" w:eastAsia="Work Sans" w:hAnsi="Arial" w:cs="Arial"/>
          <w:sz w:val="20"/>
          <w:lang w:val="es-CO"/>
        </w:rPr>
        <w:t xml:space="preserve"> en ArcGIS, donde los segmentos viales fueron modelados como arcos y las intersecciones como nodos. A cada tramo se le asignó un atributo de impedancia basado en el </w:t>
      </w:r>
      <w:r>
        <w:rPr>
          <w:rFonts w:ascii="Arial" w:eastAsia="Work Sans" w:hAnsi="Arial" w:cs="Arial"/>
          <w:b/>
          <w:bCs/>
          <w:sz w:val="20"/>
        </w:rPr>
        <w:t>t</w:t>
      </w:r>
      <w:r>
        <w:rPr>
          <w:rFonts w:ascii="Arial" w:eastAsia="Work Sans" w:hAnsi="Arial" w:cs="Arial"/>
          <w:bCs/>
          <w:sz w:val="20"/>
        </w:rPr>
        <w:t>iempo de recorrido de acuerdo a la categoría de la vía y a un estudio de la Secretaría Distrital de Movilidad, el cual permitió identificar</w:t>
      </w:r>
      <w:r>
        <w:rPr>
          <w:rFonts w:ascii="Arial" w:eastAsia="Work Sans" w:hAnsi="Arial" w:cs="Arial"/>
          <w:bCs/>
          <w:sz w:val="20"/>
          <w:lang w:val="es-CO"/>
        </w:rPr>
        <w:t xml:space="preserve"> </w:t>
      </w:r>
      <w:r>
        <w:rPr>
          <w:rFonts w:ascii="Arial" w:eastAsia="Work Sans" w:hAnsi="Arial" w:cs="Arial"/>
          <w:bCs/>
          <w:sz w:val="20"/>
        </w:rPr>
        <w:t>velocidades promedias en un</w:t>
      </w:r>
      <w:r>
        <w:rPr>
          <w:rFonts w:ascii="Arial" w:eastAsia="Work Sans" w:hAnsi="Arial" w:cs="Arial"/>
          <w:bCs/>
          <w:sz w:val="20"/>
          <w:lang w:val="es-CO"/>
        </w:rPr>
        <w:t xml:space="preserve"> día típico de 17:30 a 18:30 horas en vías arteriales</w:t>
      </w:r>
      <w:r>
        <w:rPr>
          <w:rFonts w:ascii="Arial" w:eastAsia="Work Sans" w:hAnsi="Arial" w:cs="Arial"/>
          <w:sz w:val="20"/>
          <w:lang w:val="es-CO"/>
        </w:rPr>
        <w:t>.</w:t>
      </w:r>
    </w:p>
    <w:p w:rsidR="00FF71B8" w:rsidRPr="00797C98" w:rsidRDefault="00FF71B8" w:rsidP="00797C98">
      <w:pPr>
        <w:jc w:val="both"/>
        <w:rPr>
          <w:rFonts w:ascii="Arial" w:eastAsia="Work Sans" w:hAnsi="Arial" w:cs="Arial"/>
          <w:sz w:val="20"/>
          <w:lang w:val="es-CO"/>
        </w:rPr>
      </w:pPr>
      <w:r>
        <w:rPr>
          <w:rFonts w:ascii="Arial" w:eastAsia="Work Sans" w:hAnsi="Arial" w:cs="Arial"/>
          <w:sz w:val="20"/>
          <w:lang w:val="es-CO"/>
        </w:rPr>
        <w:t xml:space="preserve">Una vez configurada la red, se establecieron los </w:t>
      </w:r>
      <w:r>
        <w:rPr>
          <w:rFonts w:ascii="Arial" w:eastAsia="Work Sans" w:hAnsi="Arial" w:cs="Arial"/>
          <w:bCs/>
          <w:sz w:val="20"/>
        </w:rPr>
        <w:t>rangos temporales de desplazamiento</w:t>
      </w:r>
      <w:r>
        <w:rPr>
          <w:rFonts w:ascii="Arial" w:eastAsia="Work Sans" w:hAnsi="Arial" w:cs="Arial"/>
          <w:sz w:val="20"/>
          <w:lang w:val="es-CO"/>
        </w:rPr>
        <w:t xml:space="preserve">, definidos como umbrales de tiempo relevantes para el acceso a equipamientos sociales en el contexto urbano bogotano. Estos cortes permitieron delimitar intervalos de accesibilidad entre 5, 10, 15, 25 y mayor a 35 minutos de viaje, los cuales fueron incorporados como parámetros dentro de la herramienta </w:t>
      </w:r>
      <w:r>
        <w:rPr>
          <w:rFonts w:ascii="Arial" w:eastAsia="Work Sans" w:hAnsi="Arial" w:cs="Arial"/>
          <w:bCs/>
          <w:sz w:val="20"/>
        </w:rPr>
        <w:t>Service Area</w:t>
      </w:r>
      <w:r>
        <w:rPr>
          <w:rFonts w:ascii="Arial" w:eastAsia="Work Sans" w:hAnsi="Arial" w:cs="Arial"/>
          <w:sz w:val="20"/>
          <w:lang w:val="es-CO"/>
        </w:rPr>
        <w:t xml:space="preserve"> del módulo </w:t>
      </w:r>
      <w:r>
        <w:rPr>
          <w:rFonts w:ascii="Arial" w:eastAsia="Work Sans" w:hAnsi="Arial" w:cs="Arial"/>
          <w:iCs/>
          <w:sz w:val="20"/>
        </w:rPr>
        <w:t>Network Analyst</w:t>
      </w:r>
      <w:r>
        <w:rPr>
          <w:rFonts w:ascii="Arial" w:eastAsia="Work Sans" w:hAnsi="Arial" w:cs="Arial"/>
          <w:sz w:val="20"/>
          <w:lang w:val="es-CO"/>
        </w:rPr>
        <w:t xml:space="preserve"> de ArcGIS.</w:t>
      </w:r>
    </w:p>
    <w:p w:rsidR="00FF71B8" w:rsidRPr="00797C98" w:rsidRDefault="00FF71B8" w:rsidP="00797C98">
      <w:pPr>
        <w:jc w:val="both"/>
        <w:rPr>
          <w:rFonts w:ascii="Arial" w:eastAsia="Work Sans" w:hAnsi="Arial" w:cs="Arial"/>
          <w:sz w:val="20"/>
          <w:lang w:val="es-CO"/>
        </w:rPr>
      </w:pPr>
      <w:r>
        <w:rPr>
          <w:rFonts w:ascii="Arial" w:eastAsia="Work Sans" w:hAnsi="Arial" w:cs="Arial"/>
          <w:sz w:val="20"/>
          <w:lang w:val="es-CO"/>
        </w:rPr>
        <w:t xml:space="preserve">Finalmente, se procedió a la </w:t>
      </w:r>
      <w:r>
        <w:rPr>
          <w:rFonts w:ascii="Arial" w:eastAsia="Work Sans" w:hAnsi="Arial" w:cs="Arial"/>
          <w:bCs/>
          <w:sz w:val="20"/>
        </w:rPr>
        <w:t>generación de polígonos de áreas de servicio</w:t>
      </w:r>
      <w:r>
        <w:rPr>
          <w:rFonts w:ascii="Arial" w:eastAsia="Work Sans" w:hAnsi="Arial" w:cs="Arial"/>
          <w:sz w:val="20"/>
          <w:lang w:val="es-CO"/>
        </w:rPr>
        <w:t>, los cuales representan las zonas del territorio urbano de Bogotá potencialmente accesibles desde cada equipamiento dentro de los tiempos de viaje definidos. Los polígonos resultantes fueron procesados mediante operaciones de disolución y superposición espacial.</w:t>
      </w:r>
    </w:p>
    <w:p w:rsidR="008154C8" w:rsidRPr="00797C98" w:rsidRDefault="008154C8" w:rsidP="00797C98">
      <w:pPr>
        <w:jc w:val="both"/>
        <w:rPr>
          <w:rFonts w:ascii="Arial" w:eastAsia="Work Sans" w:hAnsi="Arial" w:cs="Arial"/>
          <w:sz w:val="20"/>
          <w:lang w:val="es-CO"/>
        </w:rPr>
      </w:pPr>
      <w:r>
        <w:rPr>
          <w:rFonts w:ascii="Arial" w:eastAsia="Work Sans" w:hAnsi="Arial" w:cs="Arial"/>
          <w:sz w:val="20"/>
          <w:lang w:val="es-CO"/>
        </w:rPr>
        <w:t>Como insumo complementario al análisis de accesibilidad, se incorporó un componente de comportamiento espacial de la vulnerabilidad social, construido a partir de cuatro indicadores disponibles a nivel de Unidad de Planeamiento Zonal (UPZ) provenientes de la Encuesta Multipropósito 2021: índice de pobreza multidimensional (IPM), analfabetismo, proporción de víctimas del conflicto armado y problemas estructurales de la vivienda (humedades, grietas y deficiencias en pisos, techos y paredes). Estos cuatro indicadores fueron integrados en un índice compuesto y clasificados en tres niveles —bajo, medio y alto— mediante un procedimiento de agrupamiento estadístico, con el fin de representar el comportamiento espacial agregado de la vulnerabilidad social en el territorio.</w:t>
      </w:r>
    </w:p>
    <w:p w:rsidR="008154C8" w:rsidRPr="00797C98" w:rsidRDefault="008154C8" w:rsidP="00797C98">
      <w:pPr>
        <w:jc w:val="both"/>
        <w:rPr>
          <w:rFonts w:ascii="Arial" w:eastAsia="Work Sans" w:hAnsi="Arial" w:cs="Arial"/>
          <w:sz w:val="20"/>
          <w:lang w:val="es-CO"/>
        </w:rPr>
      </w:pPr>
      <w:r>
        <w:rPr>
          <w:rFonts w:ascii="Arial" w:eastAsia="Work Sans" w:hAnsi="Arial" w:cs="Arial"/>
          <w:b/>
          <w:i/>
          <w:sz w:val="20"/>
          <w:lang w:val="es-CO"/>
        </w:rPr>
        <w:t>Configuración del algoritmo.</w:t>
      </w:r>
      <w:r>
        <w:rPr>
          <w:rFonts w:ascii="Arial" w:eastAsia="Work Sans" w:hAnsi="Arial" w:cs="Arial"/>
          <w:sz w:val="20"/>
          <w:lang w:val="es-CO"/>
        </w:rPr>
        <w:t xml:space="preserve"> En la herramienta Multivariate Clustering, se especificaron las seis variables normalizadas como Analysis Fields, se seleccionó K-Means como Clustering Method, y se empleó la opción Evaluate Optimal Number of Clusters (basada en el criterio de Calinski-Harabasz) como referencia inicial, contrastándola adicionalmente con un análisis de coeficiente de silueta (silhouette score) calculado para un rango de soluciones entre 2 y 8 grupos. Si bien el óptimo estadístico puro se ubicó en una solución de 2 grupos, se determinó que una solución de k = 3 clústeres ofrecía un mejor balance entre rigor estadístico (silhouette = 0.395) y capacidad de discriminación territorial para los fines descriptivos del estudio, permitiendo diferenciar UPZ de baja, media y alta vulnerabilidad.</w:t>
      </w:r>
    </w:p>
    <w:p w:rsidR="008154C8" w:rsidRPr="00797C98" w:rsidRDefault="008154C8" w:rsidP="00797C98">
      <w:pPr>
        <w:jc w:val="both"/>
        <w:rPr>
          <w:rFonts w:ascii="Arial" w:eastAsia="Work Sans" w:hAnsi="Arial" w:cs="Arial"/>
          <w:sz w:val="20"/>
          <w:lang w:val="es-CO"/>
        </w:rPr>
      </w:pPr>
      <w:r>
        <w:rPr>
          <w:rFonts w:ascii="Arial" w:eastAsia="Work Sans" w:hAnsi="Arial" w:cs="Arial"/>
          <w:b/>
          <w:i/>
          <w:sz w:val="20"/>
          <w:lang w:val="es-CO"/>
        </w:rPr>
        <w:t>Ejecución e interpretación.</w:t>
      </w:r>
      <w:r>
        <w:rPr>
          <w:rFonts w:ascii="Arial" w:eastAsia="Work Sans" w:hAnsi="Arial" w:cs="Arial"/>
          <w:sz w:val="20"/>
          <w:lang w:val="es-CO"/>
        </w:rPr>
        <w:t xml:space="preserve"> El algoritmo se ejecutó con inicialización aleatoria múltiple (20 iteraciones) para evitar óptimos locales, asignando a cada UPZ un identificador de clúster (Cluster ID) almacenado como nuevo campo en la tabla de atributos de la capa de salida. Los clústeres resultantes fueron reordenados y reclasificados según el valor promedio de las seis variables normalizadas en cada grupo, denominándose Clúster 1 (baja vulnerabilidad), Clúster 2 (vulnerabilidad media) y Clúster 3 (alta vulnerabilidad), para facilitar su interpretación cartográfica y comparación con otros métodos de agrupamiento espacial.</w:t>
      </w:r>
    </w:p>
    <w:p w:rsidR="008154C8" w:rsidRPr="00797C98" w:rsidRDefault="008154C8" w:rsidP="00797C98">
      <w:pPr>
        <w:jc w:val="both"/>
        <w:rPr>
          <w:rFonts w:ascii="Arial" w:eastAsia="Work Sans" w:hAnsi="Arial" w:cs="Arial"/>
          <w:sz w:val="20"/>
          <w:lang w:val="es-CO"/>
        </w:rPr>
      </w:pPr>
      <w:r>
        <w:rPr>
          <w:rFonts w:ascii="Arial" w:eastAsia="Work Sans" w:hAnsi="Arial" w:cs="Arial"/>
          <w:sz w:val="20"/>
          <w:lang w:val="es-CO"/>
        </w:rPr>
        <w:t xml:space="preserve">Posteriormente, la capa de niveles de vulnerabilidad social fue superpuesta espacialmente con los polígonos de áreas de servicio (tiempos de desplazamiento) generados mediante la herramienta Service Area de ArcGIS, lo que permitió identificar las zonas en las que coinciden niveles altos de vulnerabilidad social con mayores tiempos de desplazamiento hacia los equipamientos con oferta </w:t>
      </w:r>
      <w:r>
        <w:rPr>
          <w:rFonts w:ascii="Arial" w:eastAsia="Work Sans" w:hAnsi="Arial" w:cs="Arial"/>
          <w:sz w:val="20"/>
          <w:lang w:val="es-CO"/>
        </w:rPr>
        <w:lastRenderedPageBreak/>
        <w:t>social. Adicionalmente, se delimitaron mediante un contorno diferenciado las zonas que registran tiempos de desplazamiento superiores a 25 minutos, con el fin de resaltar las áreas con mayores restricciones de accesibilidad geográfica dentro del territorio distrital.</w:t>
      </w:r>
    </w:p>
    <w:p w:rsidR="008154C8" w:rsidRPr="00797C98" w:rsidRDefault="008154C8" w:rsidP="00797C98">
      <w:pPr>
        <w:jc w:val="both"/>
        <w:rPr>
          <w:rFonts w:ascii="Arial" w:eastAsia="Work Sans" w:hAnsi="Arial" w:cs="Arial"/>
          <w:sz w:val="20"/>
          <w:lang w:val="es-CO"/>
        </w:rPr>
      </w:pPr>
    </w:p>
    <w:p w:rsidR="008154C8" w:rsidRPr="00797C98" w:rsidRDefault="008154C8" w:rsidP="00797C98">
      <w:pPr>
        <w:jc w:val="both"/>
        <w:rPr>
          <w:rFonts w:ascii="Arial" w:eastAsia="Work Sans" w:hAnsi="Arial" w:cs="Arial"/>
          <w:b/>
          <w:sz w:val="20"/>
          <w:lang w:val="es-CO"/>
        </w:rPr>
      </w:pPr>
      <w:r>
        <w:rPr>
          <w:rFonts w:ascii="Arial" w:eastAsia="Work Sans" w:hAnsi="Arial" w:cs="Arial"/>
          <w:b/>
          <w:sz w:val="20"/>
          <w:lang w:val="es-CO"/>
        </w:rPr>
        <w:t>Resultados.</w:t>
      </w:r>
    </w:p>
    <w:p w:rsidR="008154C8" w:rsidRPr="00797C98" w:rsidRDefault="008154C8" w:rsidP="00797C98">
      <w:pPr>
        <w:jc w:val="both"/>
        <w:rPr>
          <w:rFonts w:ascii="Arial" w:eastAsia="Work Sans" w:hAnsi="Arial" w:cs="Arial"/>
          <w:sz w:val="20"/>
          <w:lang w:val="es-CO"/>
        </w:rPr>
      </w:pPr>
      <w:r>
        <w:rPr>
          <w:rFonts w:ascii="Arial" w:eastAsia="Work Sans" w:hAnsi="Arial" w:cs="Arial"/>
          <w:noProof/>
          <w:sz w:val="20"/>
          <w:lang w:val="es-MX" w:eastAsia="es-MX"/>
        </w:rPr>
        <w:drawing>
          <wp:inline distT="0" distB="0" distL="0" distR="0" wp14:anchorId="50A801FD" wp14:editId="58612C5D">
            <wp:extent cx="3829792" cy="6307494"/>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SPLAZAMIENTO_HORA_PICO_VS_OFERTA_SOCIAL.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3831716" cy="6310663"/>
                    </a:xfrm>
                    <a:prstGeom prst="rect">
                      <a:avLst/>
                    </a:prstGeom>
                  </pic:spPr>
                </pic:pic>
              </a:graphicData>
            </a:graphic>
          </wp:inline>
        </w:drawing>
      </w:r>
    </w:p>
    <w:p w:rsidR="008154C8" w:rsidRPr="00797C98" w:rsidRDefault="008154C8" w:rsidP="00797C98">
      <w:pPr>
        <w:jc w:val="both"/>
        <w:rPr>
          <w:rFonts w:ascii="Arial" w:eastAsia="Work Sans" w:hAnsi="Arial" w:cs="Arial"/>
          <w:sz w:val="20"/>
          <w:lang w:val="es-CO"/>
        </w:rPr>
      </w:pPr>
      <w:r>
        <w:rPr>
          <w:rFonts w:ascii="Arial" w:eastAsia="Work Sans" w:hAnsi="Arial" w:cs="Arial"/>
          <w:b/>
          <w:i/>
          <w:sz w:val="20"/>
          <w:lang w:val="es-CO"/>
        </w:rPr>
        <w:t>Figura 1.</w:t>
      </w:r>
      <w:r>
        <w:rPr>
          <w:rFonts w:ascii="Arial" w:eastAsia="Work Sans" w:hAnsi="Arial" w:cs="Arial"/>
          <w:i/>
          <w:sz w:val="20"/>
          <w:lang w:val="es-CO"/>
        </w:rPr>
        <w:t xml:space="preserve"> </w:t>
      </w:r>
      <w:r w:rsidR="00F4277B" w:rsidRPr="00F4277B">
        <w:rPr>
          <w:rFonts w:ascii="Arial" w:eastAsia="Work Sans" w:hAnsi="Arial" w:cs="Arial"/>
          <w:i/>
          <w:sz w:val="20"/>
          <w:lang w:val="es-CO"/>
        </w:rPr>
        <w:t>Distribución espacial de los equipamientos con oferta social del Distrito Capital, niveles de vulnerabilidad social y tiempos de desplazamiento en Bogotá D.C., 2021</w:t>
      </w:r>
    </w:p>
    <w:p w:rsidR="008154C8" w:rsidRPr="00797C98" w:rsidRDefault="008154C8" w:rsidP="00797C98">
      <w:pPr>
        <w:jc w:val="both"/>
        <w:rPr>
          <w:rFonts w:ascii="Arial" w:eastAsia="Work Sans" w:hAnsi="Arial" w:cs="Arial"/>
          <w:sz w:val="20"/>
          <w:lang w:val="es-CO"/>
        </w:rPr>
      </w:pPr>
    </w:p>
    <w:p w:rsidR="008154C8" w:rsidRPr="00797C98" w:rsidRDefault="008154C8" w:rsidP="00797C98">
      <w:pPr>
        <w:jc w:val="both"/>
        <w:rPr>
          <w:rFonts w:ascii="Arial" w:eastAsia="Work Sans" w:hAnsi="Arial" w:cs="Arial"/>
          <w:sz w:val="20"/>
          <w:lang w:val="es-CO"/>
        </w:rPr>
      </w:pPr>
      <w:r>
        <w:rPr>
          <w:rFonts w:ascii="Arial" w:eastAsia="Work Sans" w:hAnsi="Arial" w:cs="Arial"/>
          <w:sz w:val="20"/>
          <w:lang w:val="es-CO"/>
        </w:rPr>
        <w:lastRenderedPageBreak/>
        <w:t>El análisis de áreas de servicio (panel derecho de la Figura 1) muestra que la mayor parte de la zona urbana central y norte de Bogotá —que comprende localidades como Suba, Engativá, Barrios Unidos, Teusaquillo, Usaquén, Fontibón y Puente Aranda— presenta tiempos de desplazamiento predominantemente inferiores a 15 minutos hacia los equipamientos con oferta social, favorecida por una mayor densidad de la malla vial arterial y una distribución más homogénea de equipamientos. En contraste, las localidades de Ciudad Bolívar, Usme y los sectores periféricos de Bosa, San Cristóbal y Rafael Uribe Uribe registran los mayores tiempos de desplazamiento, con áreas que superan los 25 minutos y, en sectores específicos del sur de Ciudad Bolívar, más de 35 minutos.</w:t>
      </w:r>
    </w:p>
    <w:p w:rsidR="008154C8" w:rsidRPr="00797C98" w:rsidRDefault="008154C8" w:rsidP="00797C98">
      <w:pPr>
        <w:jc w:val="both"/>
        <w:rPr>
          <w:rFonts w:ascii="Arial" w:eastAsia="Work Sans" w:hAnsi="Arial" w:cs="Arial"/>
          <w:sz w:val="20"/>
          <w:lang w:val="es-CO"/>
        </w:rPr>
      </w:pPr>
      <w:r>
        <w:rPr>
          <w:rFonts w:ascii="Arial" w:eastAsia="Work Sans" w:hAnsi="Arial" w:cs="Arial"/>
          <w:sz w:val="20"/>
          <w:lang w:val="es-CO"/>
        </w:rPr>
        <w:t>Al contrastar estos resultados con el comportamiento espacial de los niveles de vulnerabilidad social (panel izquierdo de la Figura 1), se observa que las localidades de Bosa, Kennedy, Puente Aranda, Rafael Uribe Uribe y San Cristóbal concentran niveles medios del índice compuesto de vulnerabilidad, mientras que Ciudad Bolívar y franjas limitantes de San Cristóbal y Rafael Uribe Uribe presentan los niveles más altos. Estas mismas zonas corresponden, en buena medida, a las áreas delimitadas con un contorno diferenciado por registrar tiempos de desplazamiento superiores a 25 minutos, lo que evidencia una coincidencia espacial entre los niveles altos de vulnerabilidad social y las mayores restricciones de accesibilidad geográfica a la oferta social distrital.</w:t>
      </w:r>
    </w:p>
    <w:p w:rsidR="008154C8" w:rsidRPr="00797C98" w:rsidRDefault="008154C8" w:rsidP="00797C98">
      <w:pPr>
        <w:jc w:val="both"/>
        <w:rPr>
          <w:rFonts w:ascii="Arial" w:eastAsia="Work Sans" w:hAnsi="Arial" w:cs="Arial"/>
          <w:sz w:val="20"/>
          <w:lang w:val="es-CO"/>
        </w:rPr>
      </w:pPr>
      <w:r>
        <w:rPr>
          <w:rFonts w:ascii="Arial" w:eastAsia="Work Sans" w:hAnsi="Arial" w:cs="Arial"/>
          <w:sz w:val="20"/>
          <w:lang w:val="es-CO"/>
        </w:rPr>
        <w:t>No obstante, se identificaron también excepciones a este patrón general: algunas zonas con niveles bajos de vulnerabilidad social, como sectores de Suba y de Usaquén, presentan tiempos de desplazamiento moderados (entre 9 y 20 minutos), posiblemente asociados a una menor densidad de equipamientos en esas áreas periféricas dentro de localidades predominantemente de niveles bajos. Esto sugiere que, si bien existe una relación espacial general entre vulnerabilidad social y accesibilidad geográfica, dicha relación no es uniforme en todo el territorio distrital y está también condicionada por la localización específica de los equipamientos y la configuración de la malla vial arterial en cada sector.</w:t>
      </w:r>
    </w:p>
    <w:p w:rsidR="008154C8" w:rsidRPr="00797C98" w:rsidRDefault="008154C8" w:rsidP="00797C98">
      <w:pPr>
        <w:jc w:val="both"/>
        <w:rPr>
          <w:rFonts w:ascii="Arial" w:eastAsia="Work Sans" w:hAnsi="Arial" w:cs="Arial"/>
          <w:sz w:val="20"/>
          <w:lang w:val="es-CO"/>
        </w:rPr>
      </w:pPr>
    </w:p>
    <w:p w:rsidR="008154C8" w:rsidRPr="00797C98" w:rsidRDefault="008154C8" w:rsidP="00797C98">
      <w:pPr>
        <w:jc w:val="both"/>
        <w:rPr>
          <w:rFonts w:ascii="Arial" w:eastAsia="Work Sans" w:hAnsi="Arial" w:cs="Arial"/>
          <w:b/>
          <w:sz w:val="20"/>
          <w:lang w:val="es-CO"/>
        </w:rPr>
      </w:pPr>
      <w:r>
        <w:rPr>
          <w:rFonts w:ascii="Arial" w:eastAsia="Work Sans" w:hAnsi="Arial" w:cs="Arial"/>
          <w:b/>
          <w:sz w:val="20"/>
          <w:lang w:val="es-CO"/>
        </w:rPr>
        <w:t>Discusión.</w:t>
      </w:r>
    </w:p>
    <w:p w:rsidR="008154C8" w:rsidRPr="00797C98" w:rsidRDefault="008154C8" w:rsidP="00797C98">
      <w:pPr>
        <w:jc w:val="both"/>
        <w:rPr>
          <w:rFonts w:ascii="Arial" w:eastAsia="Work Sans" w:hAnsi="Arial" w:cs="Arial"/>
          <w:sz w:val="20"/>
          <w:lang w:val="es-CO"/>
        </w:rPr>
      </w:pPr>
      <w:r>
        <w:rPr>
          <w:rFonts w:ascii="Arial" w:eastAsia="Work Sans" w:hAnsi="Arial" w:cs="Arial"/>
          <w:sz w:val="20"/>
          <w:lang w:val="es-CO"/>
        </w:rPr>
        <w:t>Los resultados obtenidos son consistentes con la evidencia internacional que señala que la accesibilidad geográfica a servicios y equipamientos urbanos rara vez se distribuye de manera homogénea en el territorio, y que las brechas de tiempo de desplazamiento suelen coincidir con patrones de inequidad socioespacial preexistentes (1,3). En el caso de Bogotá D.C., la coincidencia espacial observada entre los mayores tiempos de desplazamiento y los niveles más altos de vulnerabilidad social en Ciudad Bolívar y en sectores limitantes de San Cristóbal y Rafael Uribe Uribe resulta particularmente relevante, en la medida en que estas localidades han sido identificadas reiteradamente por las entidades distritales como zonas de alta concentración de pobreza multidimensional y de población víctima del conflicto armado (4,5).</w:t>
      </w:r>
    </w:p>
    <w:p w:rsidR="008154C8" w:rsidRPr="00797C98" w:rsidRDefault="008154C8" w:rsidP="00797C98">
      <w:pPr>
        <w:jc w:val="both"/>
        <w:rPr>
          <w:rFonts w:ascii="Arial" w:eastAsia="Work Sans" w:hAnsi="Arial" w:cs="Arial"/>
          <w:sz w:val="20"/>
          <w:lang w:val="es-CO"/>
        </w:rPr>
      </w:pPr>
      <w:r>
        <w:rPr>
          <w:rFonts w:ascii="Arial" w:eastAsia="Work Sans" w:hAnsi="Arial" w:cs="Arial"/>
          <w:sz w:val="20"/>
          <w:lang w:val="es-CO"/>
        </w:rPr>
        <w:t>Esta coincidencia espacial sugiere la existencia de un fenómeno de doble vulnerabilidad: por un lado, una vulnerabilidad social estructural reflejada en los indicadores de pobreza multidimensional, analfabetismo y condiciones de la vivienda; y, por otro, una vulnerabilidad de accesibilidad derivada de mayores tiempos de desplazamiento hacia la oferta social que, en principio, debería compensar dichas condiciones de desventaja. Este hallazgo es consistente con estudios sobre accesibilidad a equipamientos urbanos que han documentado que las poblaciones de menores ingresos y mayor vulnerabilidad social tienden a enfrentar simultáneamente mayores barreras de transporte y movilidad hacia los servicios que más necesitan (2,3), lo que puede contribuir a perpetuar ciclos de exclusión territorial si no se incorpora un criterio de accesibilidad en la planificación de la oferta social.</w:t>
      </w:r>
    </w:p>
    <w:p w:rsidR="008154C8" w:rsidRPr="00797C98" w:rsidRDefault="008154C8" w:rsidP="00797C98">
      <w:pPr>
        <w:jc w:val="both"/>
        <w:rPr>
          <w:rFonts w:ascii="Arial" w:eastAsia="Work Sans" w:hAnsi="Arial" w:cs="Arial"/>
          <w:sz w:val="20"/>
          <w:lang w:val="es-CO"/>
        </w:rPr>
      </w:pPr>
      <w:r>
        <w:rPr>
          <w:rFonts w:ascii="Arial" w:eastAsia="Work Sans" w:hAnsi="Arial" w:cs="Arial"/>
          <w:sz w:val="20"/>
          <w:lang w:val="es-CO"/>
        </w:rPr>
        <w:t xml:space="preserve">Sin embargo, las excepciones identificadas en sectores de Suba y Usaquén —donde niveles bajos de vulnerabilidad social coexisten con tiempos de desplazamiento moderados— indican que la relación entre vulnerabilidad social y accesibilidad geográfica, aunque relevante, no es determinística </w:t>
      </w:r>
      <w:r>
        <w:rPr>
          <w:rFonts w:ascii="Arial" w:eastAsia="Work Sans" w:hAnsi="Arial" w:cs="Arial"/>
          <w:sz w:val="20"/>
          <w:lang w:val="es-CO"/>
        </w:rPr>
        <w:lastRenderedPageBreak/>
        <w:t>ni se explica únicamente por la condición socioeconómica de la población. Factores como la configuración de la malla vial arterial, la localización específica de los equipamientos y las velocidades de circulación en horas de alta congestión también inciden de manera significativa en los tiempos de desplazamiento resultantes, lo cual es consistente con la literatura que advierte sobre la necesidad de incorporar múltiples dimensiones —y no únicamente la distancia euclídiana o socioeconómica— en los análisis de accesibilidad basados en SIG (1,2).</w:t>
      </w:r>
    </w:p>
    <w:p w:rsidR="008154C8" w:rsidRPr="00797C98" w:rsidRDefault="008154C8" w:rsidP="00797C98">
      <w:pPr>
        <w:jc w:val="both"/>
        <w:rPr>
          <w:rFonts w:ascii="Arial" w:eastAsia="Work Sans" w:hAnsi="Arial" w:cs="Arial"/>
          <w:sz w:val="20"/>
          <w:lang w:val="es-CO"/>
        </w:rPr>
      </w:pPr>
      <w:r>
        <w:rPr>
          <w:rFonts w:ascii="Arial" w:eastAsia="Work Sans" w:hAnsi="Arial" w:cs="Arial"/>
          <w:sz w:val="20"/>
          <w:lang w:val="es-CO"/>
        </w:rPr>
        <w:t>Estos hallazgos tienen implicaciones directas para la formulación de políticas de focalización territorial en el Distrito Capital. La identificación de zonas donde coinciden alta vulnerabilidad social y baja accesibilidad geográfica —particularmente en Ciudad Bolívar y sectores limitantes de San Cristóbal y Rafael Uribe Uribe— constituye un insumo técnico para priorizar la localización de nuevos equipamientos con oferta social o el fortalecimiento de la conectividad vial en dichas áreas. Como limitación del estudio, se reconoce que el análisis se basó únicamente en el modo de transporte vehicular sobre la malla vial arterial, sin incorporar otros modos de desplazamiento como el transporte público masivo o los desplazamientos peatonales, los cuales podrían modificar los tiempos de accesibilidad efectivos para la población, particularmente en las zonas periféricas de menores ingresos. Futuras investigaciones podrían incorporar análisis multimodales y datos de movilidad en tiempo real para refinar estas estimaciones.</w:t>
      </w:r>
    </w:p>
    <w:p w:rsidR="008154C8" w:rsidRPr="00797C98" w:rsidRDefault="008154C8" w:rsidP="00797C98">
      <w:pPr>
        <w:jc w:val="both"/>
        <w:rPr>
          <w:rFonts w:ascii="Arial" w:eastAsia="Work Sans" w:hAnsi="Arial" w:cs="Arial"/>
          <w:b/>
          <w:sz w:val="20"/>
          <w:lang w:val="es-CO"/>
        </w:rPr>
      </w:pPr>
      <w:r>
        <w:rPr>
          <w:rFonts w:ascii="Arial" w:eastAsia="Work Sans" w:hAnsi="Arial" w:cs="Arial"/>
          <w:b/>
          <w:sz w:val="20"/>
          <w:lang w:val="es-CO"/>
        </w:rPr>
        <w:t>Referencias</w:t>
      </w:r>
    </w:p>
    <w:p w:rsidR="003202B0" w:rsidRPr="00797C98" w:rsidRDefault="003202B0" w:rsidP="00797C98">
      <w:pPr>
        <w:pStyle w:val="Prrafodelista"/>
        <w:numPr>
          <w:ilvl w:val="0"/>
          <w:numId w:val="1"/>
        </w:numPr>
        <w:jc w:val="both"/>
        <w:rPr>
          <w:rFonts w:ascii="Arial" w:eastAsia="Work Sans" w:hAnsi="Arial" w:cs="Arial"/>
          <w:sz w:val="20"/>
        </w:rPr>
      </w:pPr>
      <w:r>
        <w:rPr>
          <w:rFonts w:ascii="Arial" w:eastAsia="Work Sans" w:hAnsi="Arial" w:cs="Arial"/>
          <w:sz w:val="20"/>
        </w:rPr>
        <w:t>Wang Y, Li X, Zhang Q. GIS-based accessibility analysis of urban park green space landscape. Sci Rep. 2025 [citado 2026 jun 23]. Disponible en: https://www.nature.com/articles/s41598-025-13750-5</w:t>
      </w:r>
    </w:p>
    <w:p w:rsidR="003202B0" w:rsidRPr="00797C98" w:rsidRDefault="003202B0" w:rsidP="00797C98">
      <w:pPr>
        <w:pStyle w:val="Prrafodelista"/>
        <w:numPr>
          <w:ilvl w:val="0"/>
          <w:numId w:val="1"/>
        </w:numPr>
        <w:jc w:val="both"/>
        <w:rPr>
          <w:rFonts w:ascii="Arial" w:eastAsia="Work Sans" w:hAnsi="Arial" w:cs="Arial"/>
          <w:sz w:val="20"/>
        </w:rPr>
      </w:pPr>
      <w:r>
        <w:rPr>
          <w:rFonts w:ascii="Arial" w:eastAsia="Work Sans" w:hAnsi="Arial" w:cs="Arial"/>
          <w:sz w:val="20"/>
        </w:rPr>
        <w:t>Ribeiro J, Marques da Costa N, Pinto Cardoso D. Assessing equity in the accessibility to urban green spaces according to different functional levels. ISPRS Int J Geo-Inf. 2020 [citado 2026 jun 23];9(5):308. Disponible en: https://www.mdpi.com/2220-9964/9/5/308</w:t>
      </w:r>
    </w:p>
    <w:p w:rsidR="003202B0" w:rsidRPr="00797C98" w:rsidRDefault="003202B0" w:rsidP="00797C98">
      <w:pPr>
        <w:pStyle w:val="Prrafodelista"/>
        <w:numPr>
          <w:ilvl w:val="0"/>
          <w:numId w:val="1"/>
        </w:numPr>
        <w:jc w:val="both"/>
        <w:rPr>
          <w:rFonts w:ascii="Arial" w:eastAsia="Work Sans" w:hAnsi="Arial" w:cs="Arial"/>
          <w:sz w:val="20"/>
        </w:rPr>
      </w:pPr>
      <w:r>
        <w:rPr>
          <w:rFonts w:ascii="Arial" w:eastAsia="Work Sans" w:hAnsi="Arial" w:cs="Arial"/>
          <w:sz w:val="20"/>
        </w:rPr>
        <w:t>Yilmaz E, Kara C. Accessibility assessment of urban public services using GIS-based network analysis: a case study in Eskişehir, Türkiye. ResearchGate. 2023 [citado 2026 jun 23]. Disponible en: https://www.researchgate.net/publication/371166449</w:t>
      </w:r>
    </w:p>
    <w:p w:rsidR="003202B0" w:rsidRPr="00797C98" w:rsidRDefault="003202B0" w:rsidP="00797C98">
      <w:pPr>
        <w:pStyle w:val="Prrafodelista"/>
        <w:numPr>
          <w:ilvl w:val="0"/>
          <w:numId w:val="1"/>
        </w:numPr>
        <w:jc w:val="both"/>
        <w:rPr>
          <w:rFonts w:ascii="Arial" w:eastAsia="Work Sans" w:hAnsi="Arial" w:cs="Arial"/>
          <w:sz w:val="20"/>
        </w:rPr>
      </w:pPr>
      <w:r>
        <w:rPr>
          <w:rFonts w:ascii="Arial" w:eastAsia="Work Sans" w:hAnsi="Arial" w:cs="Arial"/>
          <w:sz w:val="20"/>
        </w:rPr>
        <w:t>Observatorio de Salud de Bogotá (SaluData). Pobreza en Bogotá D.C. [Internet]. Bogotá: Secretaría Distrital de Salud; 2026 [citado 2026 jun 23]. Disponible en: https://saludata.saludcapital.gov.co/osb/indicadores/pobreza-y-desigualdad-en-bogota-d-c/</w:t>
      </w:r>
    </w:p>
    <w:p w:rsidR="003202B0" w:rsidRPr="00797C98" w:rsidRDefault="003202B0" w:rsidP="00797C98">
      <w:pPr>
        <w:pStyle w:val="Prrafodelista"/>
        <w:numPr>
          <w:ilvl w:val="0"/>
          <w:numId w:val="1"/>
        </w:numPr>
        <w:jc w:val="both"/>
        <w:rPr>
          <w:rFonts w:ascii="Arial" w:eastAsia="Work Sans" w:hAnsi="Arial" w:cs="Arial"/>
          <w:sz w:val="20"/>
        </w:rPr>
      </w:pPr>
      <w:r>
        <w:rPr>
          <w:rFonts w:ascii="Arial" w:eastAsia="Work Sans" w:hAnsi="Arial" w:cs="Arial"/>
          <w:sz w:val="20"/>
        </w:rPr>
        <w:t>Secretaría Distrital de Integración Social. Focalización geográfica – mapas de pobreza de la ciudad de Bogotá [Internet]. Bogotá: SDIS; 2021 [citado 2026 jun 23]. Disponible en: https://www.integracionsocial.gov.co/index.php/transparencia-y-acceso-a-la-informacion-publica/24-transparencia/4772-focalizacion-geografica-mapas-de-pobreza-de-la-ciudad-de-bogota</w:t>
      </w:r>
    </w:p>
    <w:p w:rsidR="003202B0" w:rsidRPr="00797C98" w:rsidRDefault="003202B0" w:rsidP="00797C98">
      <w:pPr>
        <w:pStyle w:val="Prrafodelista"/>
        <w:numPr>
          <w:ilvl w:val="0"/>
          <w:numId w:val="1"/>
        </w:numPr>
        <w:jc w:val="both"/>
        <w:rPr>
          <w:rFonts w:ascii="Arial" w:eastAsia="Work Sans" w:hAnsi="Arial" w:cs="Arial"/>
          <w:sz w:val="20"/>
        </w:rPr>
      </w:pPr>
      <w:r>
        <w:rPr>
          <w:rFonts w:ascii="Arial" w:eastAsia="Work Sans" w:hAnsi="Arial" w:cs="Arial"/>
          <w:sz w:val="20"/>
        </w:rPr>
        <w:t>Longley PA, Goodchild MF, Maguire DJ, Rhind DW. Geographic information systems and science. 4th ed. Hoboken (NJ): Wiley; 2015.</w:t>
      </w:r>
    </w:p>
    <w:p w:rsidR="003202B0" w:rsidRPr="00797C98" w:rsidRDefault="003202B0" w:rsidP="00797C98">
      <w:pPr>
        <w:pStyle w:val="Prrafodelista"/>
        <w:numPr>
          <w:ilvl w:val="0"/>
          <w:numId w:val="1"/>
        </w:numPr>
        <w:jc w:val="both"/>
        <w:rPr>
          <w:rFonts w:ascii="Arial" w:eastAsia="Work Sans" w:hAnsi="Arial" w:cs="Arial"/>
          <w:sz w:val="20"/>
          <w:lang w:val="es-CO"/>
        </w:rPr>
      </w:pPr>
      <w:r>
        <w:rPr>
          <w:rFonts w:ascii="Arial" w:eastAsia="Work Sans" w:hAnsi="Arial" w:cs="Arial"/>
          <w:sz w:val="20"/>
        </w:rPr>
        <w:t xml:space="preserve">Batty M. The new science of cities. </w:t>
      </w:r>
      <w:r>
        <w:rPr>
          <w:rFonts w:ascii="Arial" w:eastAsia="Work Sans" w:hAnsi="Arial" w:cs="Arial"/>
          <w:sz w:val="20"/>
          <w:lang w:val="es-CO"/>
        </w:rPr>
        <w:t>Cambridge (MA): MIT Press; 2013.</w:t>
      </w:r>
    </w:p>
    <w:p w:rsidR="003202B0" w:rsidRPr="00797C98" w:rsidRDefault="003202B0" w:rsidP="00797C98">
      <w:pPr>
        <w:pStyle w:val="Prrafodelista"/>
        <w:numPr>
          <w:ilvl w:val="0"/>
          <w:numId w:val="1"/>
        </w:numPr>
        <w:jc w:val="both"/>
        <w:rPr>
          <w:rFonts w:ascii="Arial" w:eastAsia="Work Sans" w:hAnsi="Arial" w:cs="Arial"/>
          <w:sz w:val="20"/>
          <w:lang w:val="es-CO"/>
        </w:rPr>
      </w:pPr>
      <w:r>
        <w:rPr>
          <w:rFonts w:ascii="Arial" w:eastAsia="Work Sans" w:hAnsi="Arial" w:cs="Arial"/>
          <w:sz w:val="20"/>
          <w:lang w:val="es-CO"/>
        </w:rPr>
        <w:t>Secretaría Distrital de Movilidad. Estudio de velocidades promedio en la malla vial arterial de Bogotá D.C. Bogotá: SDM; 2018.</w:t>
      </w:r>
    </w:p>
    <w:p w:rsidR="003202B0" w:rsidRPr="00797C98" w:rsidRDefault="003202B0" w:rsidP="00797C98">
      <w:pPr>
        <w:pStyle w:val="Prrafodelista"/>
        <w:numPr>
          <w:ilvl w:val="0"/>
          <w:numId w:val="1"/>
        </w:numPr>
        <w:jc w:val="both"/>
        <w:rPr>
          <w:rFonts w:ascii="Arial" w:eastAsia="Work Sans" w:hAnsi="Arial" w:cs="Arial"/>
          <w:sz w:val="20"/>
          <w:lang w:val="es-CO"/>
        </w:rPr>
      </w:pPr>
      <w:r>
        <w:rPr>
          <w:rFonts w:ascii="Arial" w:eastAsia="Work Sans" w:hAnsi="Arial" w:cs="Arial"/>
          <w:sz w:val="20"/>
          <w:lang w:val="es-CO"/>
        </w:rPr>
        <w:t>Secretaría Distrital de Integración Social. Inventario y caracterización de equipamientos sociales del Distrito Capital. Bogotá: SDIS; 2020.</w:t>
      </w:r>
    </w:p>
    <w:p w:rsidR="008154C8" w:rsidRPr="00797C98" w:rsidRDefault="008154C8" w:rsidP="00797C98">
      <w:pPr>
        <w:jc w:val="both"/>
        <w:rPr>
          <w:rFonts w:ascii="Arial" w:eastAsia="Work Sans" w:hAnsi="Arial" w:cs="Arial"/>
          <w:b/>
          <w:sz w:val="20"/>
          <w:lang w:val="es-CO"/>
        </w:rPr>
      </w:pPr>
      <w:r>
        <w:rPr>
          <w:rFonts w:ascii="Arial" w:eastAsia="Work Sans" w:hAnsi="Arial" w:cs="Arial"/>
          <w:b/>
          <w:sz w:val="20"/>
          <w:lang w:val="es-CO"/>
        </w:rPr>
        <w:t>Apéndices o anexos</w:t>
      </w:r>
    </w:p>
    <w:sectPr w:rsidR="008154C8" w:rsidRPr="00797C9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ork Sans">
    <w:altName w:val="Calibri"/>
    <w:charset w:val="00"/>
    <w:family w:val="auto"/>
    <w:pitch w:val="variable"/>
    <w:sig w:usb0="A00000FF" w:usb1="5000E07B" w:usb2="00000000" w:usb3="00000000" w:csb0="0000019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C665A2"/>
    <w:multiLevelType w:val="hybridMultilevel"/>
    <w:tmpl w:val="700CDF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BFE"/>
    <w:rsid w:val="000B733C"/>
    <w:rsid w:val="000F3D8C"/>
    <w:rsid w:val="00122BD7"/>
    <w:rsid w:val="00233AE5"/>
    <w:rsid w:val="002E1C89"/>
    <w:rsid w:val="003202B0"/>
    <w:rsid w:val="00333A3C"/>
    <w:rsid w:val="00347AAA"/>
    <w:rsid w:val="003E2A2F"/>
    <w:rsid w:val="0040085B"/>
    <w:rsid w:val="004509E3"/>
    <w:rsid w:val="004F2571"/>
    <w:rsid w:val="005139FE"/>
    <w:rsid w:val="005C45B2"/>
    <w:rsid w:val="006C240C"/>
    <w:rsid w:val="00797C98"/>
    <w:rsid w:val="008154C8"/>
    <w:rsid w:val="00825BFE"/>
    <w:rsid w:val="00886148"/>
    <w:rsid w:val="00A45B1A"/>
    <w:rsid w:val="00B76CCF"/>
    <w:rsid w:val="00BF63CB"/>
    <w:rsid w:val="00E468DC"/>
    <w:rsid w:val="00E46EAD"/>
    <w:rsid w:val="00E97115"/>
    <w:rsid w:val="00F4277B"/>
    <w:rsid w:val="00FA0743"/>
    <w:rsid w:val="00FD1F69"/>
    <w:rsid w:val="00FF71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3E11AF-4668-43C3-A74C-199EA4A6F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3E2A2F"/>
    <w:pPr>
      <w:spacing w:before="100" w:beforeAutospacing="1" w:after="100" w:afterAutospacing="1" w:line="240" w:lineRule="auto"/>
    </w:pPr>
    <w:rPr>
      <w:rFonts w:ascii="Times New Roman" w:eastAsia="Times New Roman" w:hAnsi="Times New Roman" w:cs="Times New Roman"/>
      <w:sz w:val="24"/>
      <w:szCs w:val="24"/>
    </w:rPr>
  </w:style>
  <w:style w:type="character" w:styleId="Textoennegrita">
    <w:name w:val="Strong"/>
    <w:basedOn w:val="Fuentedeprrafopredeter"/>
    <w:uiPriority w:val="22"/>
    <w:qFormat/>
    <w:rsid w:val="003E2A2F"/>
    <w:rPr>
      <w:b/>
      <w:bCs/>
    </w:rPr>
  </w:style>
  <w:style w:type="character" w:styleId="nfasis">
    <w:name w:val="Emphasis"/>
    <w:basedOn w:val="Fuentedeprrafopredeter"/>
    <w:uiPriority w:val="20"/>
    <w:qFormat/>
    <w:rsid w:val="00886148"/>
    <w:rPr>
      <w:i/>
      <w:iCs/>
    </w:rPr>
  </w:style>
  <w:style w:type="paragraph" w:styleId="Prrafodelista">
    <w:name w:val="List Paragraph"/>
    <w:basedOn w:val="Normal"/>
    <w:uiPriority w:val="34"/>
    <w:qFormat/>
    <w:rsid w:val="003202B0"/>
    <w:pPr>
      <w:ind w:left="720"/>
      <w:contextualSpacing/>
    </w:pPr>
  </w:style>
  <w:style w:type="character" w:styleId="Hipervnculo">
    <w:name w:val="Hyperlink"/>
    <w:basedOn w:val="Fuentedeprrafopredeter"/>
    <w:uiPriority w:val="99"/>
    <w:unhideWhenUsed/>
    <w:rsid w:val="004F257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754337">
      <w:bodyDiv w:val="1"/>
      <w:marLeft w:val="0"/>
      <w:marRight w:val="0"/>
      <w:marTop w:val="0"/>
      <w:marBottom w:val="0"/>
      <w:divBdr>
        <w:top w:val="none" w:sz="0" w:space="0" w:color="auto"/>
        <w:left w:val="none" w:sz="0" w:space="0" w:color="auto"/>
        <w:bottom w:val="none" w:sz="0" w:space="0" w:color="auto"/>
        <w:right w:val="none" w:sz="0" w:space="0" w:color="auto"/>
      </w:divBdr>
    </w:div>
    <w:div w:id="924610471">
      <w:bodyDiv w:val="1"/>
      <w:marLeft w:val="0"/>
      <w:marRight w:val="0"/>
      <w:marTop w:val="0"/>
      <w:marBottom w:val="0"/>
      <w:divBdr>
        <w:top w:val="none" w:sz="0" w:space="0" w:color="auto"/>
        <w:left w:val="none" w:sz="0" w:space="0" w:color="auto"/>
        <w:bottom w:val="none" w:sz="0" w:space="0" w:color="auto"/>
        <w:right w:val="none" w:sz="0" w:space="0" w:color="auto"/>
      </w:divBdr>
    </w:div>
    <w:div w:id="1137378046">
      <w:bodyDiv w:val="1"/>
      <w:marLeft w:val="0"/>
      <w:marRight w:val="0"/>
      <w:marTop w:val="0"/>
      <w:marBottom w:val="0"/>
      <w:divBdr>
        <w:top w:val="none" w:sz="0" w:space="0" w:color="auto"/>
        <w:left w:val="none" w:sz="0" w:space="0" w:color="auto"/>
        <w:bottom w:val="none" w:sz="0" w:space="0" w:color="auto"/>
        <w:right w:val="none" w:sz="0" w:space="0" w:color="auto"/>
      </w:divBdr>
    </w:div>
    <w:div w:id="157512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mailto:KPineros@saludcapital.gov.co"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2102</TotalTime>
  <Pages>6</Pages>
  <Words>3094</Words>
  <Characters>17021</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CARLOSFC</dc:creator>
  <cp:keywords/>
  <dc:description/>
  <cp:lastModifiedBy>Cuenta Microsoft</cp:lastModifiedBy>
  <cp:revision>19</cp:revision>
  <dcterms:created xsi:type="dcterms:W3CDTF">2026-01-27T03:35:00Z</dcterms:created>
  <dcterms:modified xsi:type="dcterms:W3CDTF">2026-06-23T23:34:00Z</dcterms:modified>
</cp:coreProperties>
</file>